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rPr>
          <w:rFonts w:ascii="Open Sans" w:cs="Open Sans" w:eastAsia="Open Sans" w:hAnsi="Open Sans"/>
          <w:color w:val="695d46"/>
          <w:sz w:val="24"/>
          <w:szCs w:val="24"/>
        </w:rPr>
      </w:pPr>
      <w:bookmarkStart w:colFirst="0" w:colLast="0" w:name="_z6ne0og04bp5" w:id="0"/>
      <w:bookmarkEnd w:id="0"/>
      <w:r w:rsidDel="00000000" w:rsidR="00000000" w:rsidRPr="00000000">
        <w:rPr>
          <w:rFonts w:ascii="Open Sans" w:cs="Open Sans" w:eastAsia="Open Sans" w:hAnsi="Open Sans"/>
          <w:color w:val="695d46"/>
          <w:sz w:val="24"/>
          <w:szCs w:val="24"/>
        </w:rPr>
        <w:drawing>
          <wp:inline distB="114300" distT="114300" distL="114300" distR="114300">
            <wp:extent cx="5916349" cy="104775"/>
            <wp:effectExtent b="0" l="0" r="0" t="0"/>
            <wp:docPr descr="horizontal line" id="2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-3518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color w:val="695d4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rtl w:val="0"/>
        </w:rPr>
        <w:t xml:space="preserve">RAK DAO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Accounting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Artificial Intelligence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Blockchain Development, DLT Services &amp; Software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Computer Systems And Network Consultancy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Consulting And Management Services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Customer Support Services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Cybersecurity And Cyber Risk Management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Design And Creative Services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Digital Assets Mining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Digital Creator Marketplace Services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Education And Training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Employment Services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Event And Exhibition Organizing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Gaming, E-Gaming &amp; GameFi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Holding Company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Information Service Activities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Infrastructure Development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Media And Content Production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Metaverse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Miscellaneous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Data Entry Services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NFT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Programming And Software Development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Proprietary Trading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Social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Social Media And Marketing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SocialFi Projects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VR &amp; AR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Web E-Commerce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Web3 Accelerators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Web3 Consultancy &amp; Services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Web3 Incubators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Web3 Venture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/>
      <w:jc w:val="right"/>
      <w:rPr/>
    </w:pPr>
    <w:bookmarkStart w:colFirst="0" w:colLast="0" w:name="_9nvcibv3gama" w:id="1"/>
    <w:bookmarkEnd w:id="1"/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/>
      <w:drawing>
        <wp:inline distB="114300" distT="114300" distL="114300" distR="114300">
          <wp:extent cx="5916349" cy="104775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-32286" l="0" r="0" t="0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before="20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200" w:line="24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